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PLAN PRACY ZESPOŁU NAUCZYCIELI ŚWIETLICY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NA ROK SZKOLNY 2021/2022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tbl>
      <w:tblPr>
        <w:tblStyle w:val="Tabela-Siatka"/>
        <w:tblW w:w="9464" w:type="dxa"/>
        <w:jc w:val="left"/>
        <w:tblInd w:w="0" w:type="dxa"/>
        <w:tblCellMar>
          <w:top w:w="0" w:type="dxa"/>
          <w:left w:w="90" w:type="dxa"/>
          <w:bottom w:w="0" w:type="dxa"/>
          <w:right w:w="108" w:type="dxa"/>
        </w:tblCellMar>
        <w:tblLook w:val="04a0"/>
      </w:tblPr>
      <w:tblGrid>
        <w:gridCol w:w="2518"/>
        <w:gridCol w:w="3544"/>
        <w:gridCol w:w="1417"/>
        <w:gridCol w:w="1984"/>
      </w:tblGrid>
      <w:tr>
        <w:trPr/>
        <w:tc>
          <w:tcPr>
            <w:tcW w:w="2518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PLANOWANE DZIAŁANIE</w:t>
            </w:r>
          </w:p>
        </w:tc>
        <w:tc>
          <w:tcPr>
            <w:tcW w:w="3544" w:type="dxa"/>
            <w:tcBorders>
              <w:top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SPOSOBY REALIZACJI PLANOWANYCH DZIAŁAŃ</w:t>
            </w:r>
          </w:p>
        </w:tc>
        <w:tc>
          <w:tcPr>
            <w:tcW w:w="1417" w:type="dxa"/>
            <w:tcBorders>
              <w:top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TERMIN/ MIESIĄC</w:t>
            </w:r>
          </w:p>
        </w:tc>
        <w:tc>
          <w:tcPr>
            <w:tcW w:w="1984" w:type="dxa"/>
            <w:tcBorders>
              <w:top w:val="single" w:sz="18" w:space="0" w:color="00000A"/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18"/>
                <w:szCs w:val="18"/>
              </w:rPr>
              <w:t>ODPOWIEDZIALNI</w:t>
            </w:r>
          </w:p>
        </w:tc>
      </w:tr>
      <w:tr>
        <w:trPr/>
        <w:tc>
          <w:tcPr>
            <w:tcW w:w="9463" w:type="dxa"/>
            <w:gridSpan w:val="4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DZIAŁALNOŚĆ EDUKACYJNA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575" w:hRule="atLeast"/>
        </w:trPr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Nowe formy (nie realizowane do tej pory)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nabywania przez uczniów dodatkowej wiedzy/umiejętności 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Bezpieczne wykorzystanie w procesach edukacyjnych narzędzi i zasobów cyfrowych oraz metod kształcenia na odległość.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Gry i zabawy multimedialne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z wykorzystaniem platform Genial.ly, Learning Apss Wordwall, Kahoot, Quizizz, Squla, Baamboozle, Duolingo.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Dzień Bezpiecznego Internetu.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hd w:fill="FFFFFF" w:val="clear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 xml:space="preserve">Genialne programowanie z GeniBotem”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– rozwijamy myślenie logiczne i algorytmiczne przy pomocy robota.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Zabawy na matach edukacyjnych.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luty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2.Działania (metody, programy)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wspomagające rozwój uczniów wykazujących trudności w nauce i metody rozpoznawania uzdolnień uczniów i planowania ich rozwoju.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Tworzy-My”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 cykl zajęć plastycznych z zastosowaniem wielu różnych materiałów i technik; prezentacja dzieł podczas „Świetlicowego pokazu talentów”.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Świat w obiektywie”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– warsztaty fotograficzno – filmowe: wprowadzenie do samodzielnego fotografowania i filmowania – pory roku w obiektywie oraz portrety i scenki sytuacyjne; tworzenie fotograficznej dokumentacji do opracowywanej przez dzieci „Księgi przyrody szkolnego podwórka”.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Gramy!”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– świetlicowe turnieje gier planszowych i karcianych, wymagających myślenia logicznego i strategicznego.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Z kluczem do wiedzy”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– pokoje zagadek: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zabawy rozwijające matematyczne i logiczne myślenie, ćwiczące umiejętność koncentracji i spostrzegawczość, kształtujące kompetencje językowe, komunikacyjne i społeczne.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Chemia nie magia”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– cykl eksperymentów wyjaśniających podstawowe zjawiska chemiczne i fizyczne.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Świat jest ciekawy - podróżujemy” 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cykl wirtualnych podróży edukacyjnych z wykorzystaniem wybranych stron internetowych, map, zdjęć i filmów.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Zgadnij jaki mam zawód, zobacz jaki mam talent”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–kalambury.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Gramy w szachy!”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 spotkania szachowe.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(koordynator: 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Robert Tomczyk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Innowacyjne metody nauczania-rozwijanie kreatywności, przedsiębiorczości, kompetencji cyfrowych.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hd w:fill="FFFFFF" w:val="clear"/>
              <w:spacing w:lineRule="auto" w:line="240" w:before="0" w:after="0"/>
              <w:rPr>
                <w:rFonts w:ascii="Times New Roman" w:hAnsi="Times New Roman" w:eastAsia="Times New Roman"/>
                <w:color w:val="FF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</w:rPr>
              <w:t>Mam pomysł! I co dalej?”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cykl zabaw rozwijających kreatywność i przedsiębiorczość; prezentacja efektów działań w trakcie „Świetlicowego pokazu talentów”.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„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Klatka po klatce twórz animacje”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 animacja rysunkowa i filmowa; prezentacja efektów działań w trakcie „Świetlicowego pokazu talentów”.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Po nitce do kłębka”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- wykorzystanie kodów QR podczas zabaw terenowych (nowoczesne podchody).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4.Wzmacnianie edukacji ekologicznej. Rozwijanie postawy odpowiedzialności za środowisko naturalne.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Woda źródłem życia” – działania w ramach Światowego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Dnia Wody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(akcja plakatowa na terenie szkoły, prezentacje i filmy oraz multimedialne gry i quizy dydaktyczne).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Drzewo to…”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działania w ramach Światowego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Dnia Drzewa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(teksty informacyjne, przygotowanie makiet terenów zadrzewionych, prezentacje i filmy oraz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interaktywne zabawy i gry edukacyjne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Ziemia jest tylko jedna”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działania w ramach Światowego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Dnia Ziemi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(akcja informacyjna na terenie szkoły, prezentacje i filmy oraz multimedialne gry i quizy dydaktyczne).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Problem niewielki, odkręcamy puste butelki!”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– zbiórka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zakrętek plastikowych.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Zabawki ze śmieci”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– cykl zajęć plastyczno-technicznych z wykorzystaniem materiałów z odzysku.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Maciejowe cuda”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– projekt ekologiczno-plastyczny.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Księga przyrody szkolnego podwórka” 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opracowywanie albumu przyrodniczego, złożonego ze zdjęć i opisów wykonanych przez dzieci (przeprowadzenie identyfikacji znalezionych i sfotografowanych gatunków za pomocą odpowiednich atlasów i stron internetowych).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marzec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październik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kwiecień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 (koordynator:  A. Tarnas-Tomczyk, S. Matusiakiewicz)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Maciej Makosch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 (koordynator: 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5.  Wprowadzanie w dziedzictwo cywilizacyjne Europy.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Działania w ramach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Ogólnopolskiego 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Projektu Edukacyjnego „Europa i ja”.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Veni, vidi, vici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”. Zabawy z językiem łacińskim”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 innowacja pedagogiczna.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 (koordynator: 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6. Edukacja patriotyczna – poznawanie polskiej kultury, w tym osiągnięć duchowych i materialnych.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Działania w ramach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Międzynarodowego Projektu Edukacyjnego „Piękna Nasza Polska Cała”.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Polska, moja Ojczyzna”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– działania w ramach obchodów polskich świąt narodowych (Święto Niepodległości, 3 Maja).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Polskie doroczne tradycje świąteczne”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 program własny.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 (koordynator:  K. Cichosz, E. Kucharska, E. Paluch,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 (koordynator: 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A. Tarnas-Tomczyk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7.Inne działania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63" w:type="dxa"/>
            <w:gridSpan w:val="4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DBANIE O ROZWÓJ PSYCHOFIZYCZNY UCZNIA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1.Diagnozowanie potrzeb uczniów i ich realizowanie.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Obserwowanie uczniów podczas pobytu w grupie i reagowanie na ich bieżące potrzeby.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Rozmowy indywidualne z dziećmi.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Stały kontakt z rodzicami/opiekunami dzieci,  wychowawcami klas,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nauczycielem języka obcego, logopedą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i w razie potrzeby z pedagogiem oraz psychologiem szkolnym.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2.Wsparcie psychologiczno – pedagogiczne w sytuacji kryzysowej wywołanej pandemią COVID – 19.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Bajki-pomagajki”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– bajkoterapia: bajki i opowiadania terapeutyczne czytane w ramach bieżących potrzeb, także w ramach działań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Międzynarodowego Projektu Czytelniczego „Magiczna moc bajek”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2124" w:hRule="atLeast"/>
        </w:trPr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Nowoczesne metody stymulujące rozwój.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Różne metody integracyjne i aktywizujące, gry dydaktyczne. Muzykoterapia, choreoterapia, metody integracji sensorycznej.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priorytety MEiN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wnioski z diagnoz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9651" w:hRule="atLeast"/>
        </w:trPr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4.Zajęcia wspierające rozwój mowy i myślenia.</w:t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Rym cym cym” oraz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„Język łam”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 czytanie wierszy z wybranej literatury i tworzenie własnych, w tym rymowanych łamańców językowych w ramach ćwiczeń logopedycznych.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priorytety MEiN)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Czytanie na dywanie”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– cykl zajęć czytelniczych realizowanych przy udziale uczniowskiego wolontariatu, pod opieką p. Marleny Borowskiej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priorytety MEiN)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Żeby język giętki…” –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ćwiczymy sztukę sprawnego wyrażania myśli (zabawy krasomówcze).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priorytety MEiN)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Trzy po trzy czyli co to znaczy? ”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zabawne historyjki wyjaśniające znaczenie związków frazeologicznych.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priorytety MEiN)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 (koordynator: A. Walińska-Truss)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5.Zajęcia wspierające rozwój fizyczny.</w:t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tabs>
                <w:tab w:val="left" w:pos="192" w:leader="none"/>
                <w:tab w:val="left" w:pos="1477" w:leader="none"/>
              </w:tabs>
              <w:spacing w:lineRule="auto" w:line="240" w:before="120" w:after="20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Zajęcia usprawniające motorykę małą i dużą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(różne rodzaje prac plastyczno-technicznych, gry i zabawy ruchowe w sali, na korytarzu oraz na szklonym podwórku i boisku).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priorytety MEiN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 wnioski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„Zdrowo i sportowo”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– działania w ramach akcji zachęcającej do aktywności ruchowej.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priorytety MEiN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 wnioski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Zajęcia relaksacyjne,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w tym między innymi samodzielne sporządzanie relaksujących mas plastycznych (slime, ciastolina) i zabawek antystresowych (gniotki), zabawy hydrożelem, masażyki do rymowanek.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priorytety MEiN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wnioski z diagnoz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hd w:fill="FFFFFF" w:val="clear"/>
              <w:spacing w:lineRule="auto" w:line="240" w:before="0" w:after="0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Zabawy z chustą animacyjną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m.in. w ramach obchodów Ogólnopolskiego Dnia Tańca z Klanzą.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priorytety MEiN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 wnioski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maj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A. Olechnowicz)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K. Cichosz)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6.Inne działania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63" w:type="dxa"/>
            <w:gridSpan w:val="4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DZIAŁALNOŚĆ WYCHOWAWCZA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D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ziałania n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a rzecz zapobiegania przemocy psychicznej i fizycznej wśród uczniów.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Emocje na wodzy”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– cykl zajęć rozpoznawania i nazywania emocji oraz sposobu radzenia sobie z nimi, m.in. w ramach realizacji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Międzynarodowego Projektu „Emocja”.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Hejt – jak reagować?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– rozmowy i prezentacje z wykorzystaniem informacji i materiałów ze strony „Sieciaki.pl” i innych, a także  poprzez wybór odpowiedniej tematyki oglądanych wspólnie filmów.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agwek2"/>
              <w:keepLines w:val="false"/>
              <w:numPr>
                <w:ilvl w:val="0"/>
                <w:numId w:val="0"/>
              </w:numPr>
              <w:pBdr/>
              <w:shd w:fill="FFFFFF" w:val="clear"/>
              <w:spacing w:lineRule="auto" w:line="240" w:before="0" w:after="0"/>
              <w:outlineLvl w:val="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Bądź kumplem, nie dokuczaj”</w:t>
            </w:r>
            <w:r>
              <w:rPr>
                <w:rFonts w:ascii="Times New Roman" w:hAnsi="Times New Roman"/>
                <w:b w:val="false"/>
                <w:color w:val="000000"/>
                <w:sz w:val="24"/>
                <w:szCs w:val="24"/>
              </w:rPr>
              <w:t>: kształtowanie postawy empatii (różne formy działań).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 xml:space="preserve">2.Działania zapewniające bezpieczeństwo i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zdrowie uczniów.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Zawsze bezpiecznie”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– wdrażanie do przestrzegania zasad codziennego bezpieczeństwa i higieny osobistej podczas zabawy i pracy, także w warunkach pandemicznych (COVID-19); uświadamianie możliwych zagrożeń, uczenie się ich rozpoznawania (poznawanie i tworzenie regulaminów; metody pokazowe z wykorzystaniem ilustracji i filmów, rozmowy, symulacje, odgrywanie scenek, burza pytań, prace plastyczne).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Działania mające na celu rozwijanie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w uczniach wrażliwości, postawy otwartości, tolerancji oraz szacunku dla innych, a także umiejętności współpracy.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Savoir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vivre na co dzień”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–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podstawowe zasady bon tonu w różnych sytuacjach (filmy, rozmowy i scenki tematyczne z wykorzystaniem czytanych opowiadań).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Pięknie się różnimy”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–  obserwujemy i wskazujemy cechy psychofizyczne swoje i kolegów,  dostrzegamy zalety! (zdjęcia, filmy, inscenizowane scenki, cykl zabaw w ramach „Świetlicowego pokazu talentów” 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Inny nie znaczy gorszy”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– zajęcia z wykorzystaniem dramy, małych form teatralnych, prace rysunkowe, filmy, rozmowy, piosenki.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Promowanie wśród uczniów wartości obywatelskich, kształtowanie postaw szlachetności, zaangażowania społecznego (w tym wolontariat)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Zobacz niżej, punkt 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5. Wychowanie do wartości , kształtowanie postaw, respektowanie norm społecznych.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Zobacz wyżej: działalność wychowawcza, punkt 1 – 4.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>
          <w:trHeight w:val="3945" w:hRule="atLeast"/>
        </w:trPr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6.Akcje charytatywne, kampanie(</w:t>
            </w:r>
            <w:r>
              <w:rPr>
                <w:rFonts w:cs="Times New Roman" w:ascii="Times New Roman" w:hAnsi="Times New Roman"/>
                <w:color w:val="000000"/>
              </w:rPr>
              <w:t>co najmniej na szczeblu miejskim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" w:cs="Times New Roman"/>
                <w:color w:val="000000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Zbiórka dla Burka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”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– akcja charytatywna.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(+ wnioski z nadzoru pedagogicznego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Kartka z życzeniami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– kartki przygotowywane przez dzieci dla hospicjum (lub innej instytucji opiekuńczej); współpraca ze szkolnym wolontariatem.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październik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grudzień, kwiecień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A. Olechnowicz)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E. Kucharska, E. Paluch)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</w:rPr>
              <w:t>7. Inne działania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63" w:type="dxa"/>
            <w:gridSpan w:val="4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PROMOWANIE SZKOŁY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1.Uroczystości, imprezy, konkursy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organizowane w placówce (szkolne)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>Zacznij od kropki”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 -świetlicowe obchody Międzynarodowego Dnia Kropki 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wspólne zabawy edukacyjne i plastyczne).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6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Świetlicowe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obchody Dnia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Zwierząt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filmy, prezentacje, gry, rozmowy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).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priorytety MEN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wnioski z diagnoz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Świetlicowe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obchody Dnia Drzewa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(filmy, prezentacje, gry, rozmowy, wykonanie makiety lasu – w ramach świetlicowego projektu „Dziuplaki”).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6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highlight w:val="white"/>
              </w:rPr>
              <w:t xml:space="preserve">Obchody Dnia Misia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</w:rPr>
              <w:t>(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wspólne zabawy edukacyjne, plastyczne i ruchowe).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priorytety MEN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wnioski z diagnoz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wrzesień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październik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październik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K. Cichosz,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A. Olechnowicz)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K. Cichosz,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E. Kucharska)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110" w:hRule="atLeast"/>
        </w:trPr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2.Uroczystości, imprezy, konkursy organizowane w szkole (międzyszkolne).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Śmieci? Zrób z tego coś pożytecznego!”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– konkurs międzyszkolny online.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Udział w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miejskiej Kampanii 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„Rowerowy Maj”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 mającej na celu poprawę kondycji fizycznej dzieci, zmniejszenie hałasu i zanieczyszczenia powietrza.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II półrocze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maj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A. Olechnowicz, E. Kucharska)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A. Olechnowicz)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Akapitzlist2"/>
              <w:spacing w:lineRule="auto" w:line="240" w:before="0" w:after="0"/>
              <w:ind w:left="0" w:hanging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3.Współpraca ze środowiskiem lokalnym i radą rodziców.</w:t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Akapitzlist2"/>
              <w:spacing w:lineRule="auto" w:line="240" w:before="0" w:after="0"/>
              <w:ind w:left="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„</w:t>
            </w: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Ty też możesz zostać Mikołajem”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– akcja charytatywna (pomoc dla wybranego domu dziecka lub DPS)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(+ wnioski z nadzoru pedagogicznego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Dzień Babci i Dzień Dziadka, Dzień Mamy, Dzień Taty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(przygotowujemy upominki dla swoich bliskich).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grudzień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styczeń, maj, czerwiec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K. Cichosz, E. Kucharska, E. Paluch,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4. Inne działania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>
              <w:bottom w:val="single" w:sz="18" w:space="0" w:color="00000A"/>
              <w:insideH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bottom w:val="single" w:sz="18" w:space="0" w:color="00000A"/>
              <w:right w:val="single" w:sz="18" w:space="0" w:color="00000A"/>
              <w:insideH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9463" w:type="dxa"/>
            <w:gridSpan w:val="4"/>
            <w:tcBorders>
              <w:top w:val="single" w:sz="18" w:space="0" w:color="00000A"/>
              <w:left w:val="single" w:sz="18" w:space="0" w:color="00000A"/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WSPÓŁPRACA Z INNYMI PLACÓWKAMI ORAZ Z INSTYTUCJAMI  ZEWNĘTRZNYMI (zasięg miejski, powiatowy, ogólnopolski, międzynarodowy)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tcBorders>
              <w:left w:val="single" w:sz="18" w:space="0" w:color="00000A"/>
            </w:tcBorders>
            <w:shd w:fill="auto" w:val="clear"/>
            <w:tcMar>
              <w:left w:w="9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1.Programy i projekty.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Projekt świetlicowy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„Dziuplaki, czyli nasza świetlica”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- przygotowanie i realizacja (filmy, prezentacje, gry, zabawy edukacyjne i plastyczne związane z wyszukaniem, rozpoznawaniem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oraz zbieraniem informacji na temat mieszkańców dziupli).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33C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pBdr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Międzynarodowy Projekt Edukacyjny „Piękna Nasza Polska Cała”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(Miejskie Przedszkole nr 2 im. J. Tuwima w Aleksandrowie Łódzkim)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udział i realizacja (polskie symbole narodowe, potrawy regionalne, tańce ludowe, legendy i baśnie polskie, sławni Polacy, polskie pieśni patriotyczne, ciekawostki krajoznawcze, działania proekologiczne - zabawy edukacyjne i plastyczne, filmy, prezentacje, rozmowy).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66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Międzynarodowy Projekt Czytelniczy „Magiczna moc bajek”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(Bajkowe prywatne Przedszkole w Jaśle; autorki: Anna Zielińska, Ludmiła Fabiszewska)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udział i realizacja.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33C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Międzynarodowy Projekt Edukacyjny „Emocja”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(Integrative Saturday School in Bristol; autorki: Marzena Dziadkowiec, Krystyna Grzegrzółka)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- udział i realizacja.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 xml:space="preserve">Ogólnopolski Projekt edukacyjny „Europa i ja” (SP w Bochotnicy; autorka: Ilona Broniszewska)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udział i realizacja.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DB259E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(+ wnioski z nadzoru pedagogicznego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, wnioski z diagnoz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i kompetencje kluczowe)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84" w:type="dxa"/>
            <w:tcBorders>
              <w:right w:val="single" w:sz="18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K. Cichosz,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K. Cichosz, E. Kucharska, E. Paluch,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K. Cichosz,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zespół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koordynator: K. Cichosz, E. Kucharska, A. Olechnowicz ,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zespół (koordynator:  A. Tarnas-Tomczyk)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przewodniczący zespołu  </w:t>
      </w:r>
    </w:p>
    <w:p>
      <w:pPr>
        <w:pStyle w:val="Normal"/>
        <w:jc w:val="right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Agata Tarnas-Tomczyk   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79841797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33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Nagłówek 2"/>
    <w:basedOn w:val="Normal"/>
    <w:link w:val="Nagwek2Znak"/>
    <w:uiPriority w:val="9"/>
    <w:unhideWhenUsed/>
    <w:qFormat/>
    <w:rsid w:val="000576f5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Nagłówek 3"/>
    <w:basedOn w:val="Normal"/>
    <w:link w:val="Nagwek3Znak"/>
    <w:uiPriority w:val="9"/>
    <w:qFormat/>
    <w:rsid w:val="00cf1b5e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136f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36f4"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cf1b5e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0576f5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prowadzenie" w:customStyle="1">
    <w:name w:val="Wprowadzenie"/>
    <w:basedOn w:val="Normal"/>
    <w:qFormat/>
    <w:rsid w:val="006872a4"/>
    <w:pPr>
      <w:spacing w:lineRule="auto" w:line="240" w:beforeAutospacing="1" w:afterAutospacing="1"/>
    </w:pPr>
    <w:rPr>
      <w:rFonts w:ascii="Times New Roman" w:hAnsi="Times New Roman" w:eastAsia="Times New Roman" w:cs="Times New Roman"/>
      <w:i/>
      <w:sz w:val="28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a70e16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d136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d136f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461b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2" w:customStyle="1">
    <w:name w:val="Akapit z listą2"/>
    <w:basedOn w:val="Normal"/>
    <w:qFormat/>
    <w:rsid w:val="00461bf9"/>
    <w:pPr>
      <w:ind w:left="720" w:hanging="0"/>
    </w:pPr>
    <w:rPr>
      <w:rFonts w:ascii="Calibri" w:hAnsi="Calibri" w:eastAsia="Times New Roman" w:cs="Times New Roman"/>
      <w:lang w:eastAsia="pl-PL"/>
    </w:rPr>
  </w:style>
  <w:style w:type="paragraph" w:styleId="Menfont" w:customStyle="1">
    <w:name w:val="men font"/>
    <w:basedOn w:val="Normal"/>
    <w:qFormat/>
    <w:rsid w:val="001e562a"/>
    <w:pPr>
      <w:spacing w:lineRule="auto" w:line="240" w:before="0" w:after="0"/>
    </w:pPr>
    <w:rPr>
      <w:rFonts w:ascii="Arial" w:hAnsi="Arial" w:eastAsia="Times New Roman" w:cs="Arial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521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Application>LibreOffice/5.0.5.2$Windows_x86 LibreOffice_project/55b006a02d247b5f7215fc6ea0fde844b30035b3</Application>
  <Paragraphs>292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2019-08-26T10:27:00Z</dcterms:created>
  <dc:creator>GOSIA</dc:creator>
  <dc:language>pl-PL</dc:language>
  <cp:lastPrinted>2021-08-24T12:36:00Z</cp:lastPrinted>
  <dcterms:modified xsi:type="dcterms:W3CDTF">2021-11-03T16:56:39Z</dcterms:modified>
  <cp:revision>402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